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21E" w:rsidRPr="00EC021E" w:rsidRDefault="00EC021E" w:rsidP="00EC021E">
      <w:pPr>
        <w:spacing w:after="300" w:line="390" w:lineRule="atLeast"/>
        <w:textAlignment w:val="baseline"/>
        <w:outlineLvl w:val="0"/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</w:pPr>
      <w:r w:rsidRPr="00EC021E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 xml:space="preserve">&lt;Письмо&gt; </w:t>
      </w:r>
      <w:proofErr w:type="spellStart"/>
      <w:r w:rsidRPr="00EC021E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>Минобрнауки</w:t>
      </w:r>
      <w:proofErr w:type="spellEnd"/>
      <w:r w:rsidRPr="00EC021E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 xml:space="preserve"> России от 28.02.2014 N 08-249 "Комментарии к ФГОС дошкольного образования"</w:t>
      </w:r>
    </w:p>
    <w:p w:rsidR="00EC021E" w:rsidRPr="00EC021E" w:rsidRDefault="00EC021E" w:rsidP="00EC021E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EC021E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10 июля 2018 г. 16:53</w:t>
      </w:r>
    </w:p>
    <w:p w:rsidR="00EC021E" w:rsidRPr="00EC021E" w:rsidRDefault="00EC021E" w:rsidP="00EC021E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0" w:name="100001"/>
      <w:bookmarkEnd w:id="0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МИНИСТЕРСТВО ОБРАЗОВАНИЯ И НАУКИ РОССИЙСКОЙ ФЕДЕРАЦИИ</w:t>
      </w:r>
    </w:p>
    <w:p w:rsidR="00EC021E" w:rsidRPr="00EC021E" w:rsidRDefault="00EC021E" w:rsidP="00EC021E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" w:name="100002"/>
      <w:bookmarkEnd w:id="1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ДЕПАРТАМЕНТ ОБЩЕГО ОБРАЗОВАНИЯ</w:t>
      </w:r>
    </w:p>
    <w:p w:rsidR="00EC021E" w:rsidRPr="00EC021E" w:rsidRDefault="00EC021E" w:rsidP="00EC021E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" w:name="100003"/>
      <w:bookmarkEnd w:id="2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ПИСЬМО</w:t>
      </w:r>
    </w:p>
    <w:p w:rsidR="00EC021E" w:rsidRPr="00EC021E" w:rsidRDefault="00EC021E" w:rsidP="00EC021E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от 28 февраля 2014 г. N 08-249</w:t>
      </w:r>
    </w:p>
    <w:p w:rsidR="00EC021E" w:rsidRPr="00EC021E" w:rsidRDefault="00EC021E" w:rsidP="00EC021E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" w:name="100004"/>
      <w:bookmarkEnd w:id="3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 ФГОС ДОШКОЛЬНОГО ОБРАЗОВАНИЯ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" w:name="100005"/>
      <w:bookmarkEnd w:id="4"/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Во исполнение пункта 1.3 раздела I Плана действий по обеспечению введения Федерального государственного образовательного стандарта дошкольного образования Министерства образования и науки Российской Федерации (утвержденного Первым заместителем Министра образования и науки Российской Федерации Н.В. Третьяк 31 декабря 2013 г.) Департамент государственной политики в сфере общего образования </w:t>
      </w:r>
      <w:proofErr w:type="spell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Минобрнауки</w:t>
      </w:r>
      <w:proofErr w:type="spell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России направляет </w:t>
      </w:r>
      <w:hyperlink r:id="rId5" w:anchor="100009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комментарии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по отдельным вопросам введения федерального государственного образовательного </w:t>
      </w:r>
      <w:hyperlink r:id="rId6" w:anchor="100014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стандарта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дошкольного образования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, утвержденного приказом </w:t>
      </w:r>
      <w:proofErr w:type="spell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Минобрнауки</w:t>
      </w:r>
      <w:proofErr w:type="spell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России от 17 октября 2013 г. N 1155 (зарегистрирован в Минюсте России 14 ноября 2013 г. N 30384).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" w:name="100006"/>
      <w:bookmarkEnd w:id="5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Настоящие </w:t>
      </w:r>
      <w:hyperlink r:id="rId7" w:anchor="100009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комментарии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были разработаны ФГАУ "Федеральный институт развития образования" на основе вопросов, возникающих у руководителей и специалистов органов государственной власти субъектов Российской Федерации, осуществляющих государственное управление в сфере образования, руководителей образовательных организаций, реализующих образовательные программы дошкольного образования и практических работников дошкольного образования.</w:t>
      </w:r>
    </w:p>
    <w:p w:rsidR="00EC021E" w:rsidRPr="00EC021E" w:rsidRDefault="00EC021E" w:rsidP="00EC021E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" w:name="100007"/>
      <w:bookmarkEnd w:id="6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Заместитель директора Департамента</w:t>
      </w:r>
    </w:p>
    <w:p w:rsidR="00EC021E" w:rsidRPr="00EC021E" w:rsidRDefault="00EC021E" w:rsidP="00EC021E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Ю.В.СМИРНОВА</w:t>
      </w:r>
    </w:p>
    <w:p w:rsidR="00EC021E" w:rsidRPr="00EC021E" w:rsidRDefault="00EC021E" w:rsidP="00EC02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C021E" w:rsidRPr="00EC021E" w:rsidRDefault="00EC021E" w:rsidP="00EC02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C021E" w:rsidRPr="00EC021E" w:rsidRDefault="00EC021E" w:rsidP="00EC02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C021E" w:rsidRPr="00EC021E" w:rsidRDefault="00EC021E" w:rsidP="00EC021E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" w:name="100008"/>
      <w:bookmarkEnd w:id="7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Приложение</w:t>
      </w:r>
    </w:p>
    <w:p w:rsidR="00EC021E" w:rsidRPr="00EC021E" w:rsidRDefault="00EC021E" w:rsidP="00EC021E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" w:name="100009"/>
      <w:bookmarkEnd w:id="8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</w:t>
      </w:r>
    </w:p>
    <w:p w:rsidR="00EC021E" w:rsidRPr="00EC021E" w:rsidRDefault="00EC021E" w:rsidP="00EC021E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 ФЕДЕРАЛЬНОМУ ГОСУДАРСТВЕННОМУ ОБРАЗОВАТЕЛЬНОМУ СТАНДАРТУ</w:t>
      </w:r>
    </w:p>
    <w:p w:rsidR="00EC021E" w:rsidRPr="00EC021E" w:rsidRDefault="00EC021E" w:rsidP="00EC021E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ДОШКОЛЬНОГО ОБРАЗОВАНИЯ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" w:name="100010"/>
      <w:bookmarkEnd w:id="9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8" w:anchor="100030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 пункта 1.3 подпункта 2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" w:name="100011"/>
      <w:bookmarkEnd w:id="10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данном </w:t>
      </w:r>
      <w:hyperlink r:id="rId9" w:anchor="100030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пункте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 Федерального государственного образовательного стандарта дошкольного образования (далее - ФГОС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ДО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,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Стандарт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) содержится указание на разные возрастные возможности детей при разработке и реализации образовательной программы (далее - Программа) в организации, осуществляющей образовательную деятельность (далее - Организация). На практике чаще всего (в условиях организации одновозрастных групп) Программа формируется для детей разного возраста, с разбивкой на этапы освоения: начальный - для детей раннего (младенческого) возраста, завершающий - старшего </w:t>
      </w:r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дошкольного возраста. Разнообразие возрастных возможностей детей требует создания разных условий, что учитывается требованиями Стандарта. В то же время, данная норма фиксирует приоритет индивидуальных возможностей и интересов ребенка перед содержанием Программы на том или ином этапе ее освоения в группе детей, например, при появлении ребенка в группе детского сада в середине/конце освоения Программы группой. В этом случае педагоги должны ориентироваться на интересы, возможности и склонности ребенка, а не на содержание текущего этапа Программы.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" w:name="100012"/>
      <w:bookmarkEnd w:id="11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10" w:anchor="100071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II пункта 2.2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" w:name="100013"/>
      <w:bookmarkEnd w:id="12"/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соответствии с данным </w:t>
      </w:r>
      <w:hyperlink r:id="rId11" w:anchor="100071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пунктом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Стандарта, а также с </w:t>
      </w:r>
      <w:hyperlink r:id="rId12" w:anchor="100041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пунктом 13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 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(приказ </w:t>
      </w:r>
      <w:proofErr w:type="spell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Минобрнауки</w:t>
      </w:r>
      <w:proofErr w:type="spell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России от 30 августа 2013 г. N 1014) группы различной направленности (общеразвивающей, компенсирующей, оздоровительной или комбинированной), являющиеся структурными подразделениями дошкольной образовательной организации (далее - ДОО) и ведущие образовательную деятельность, могут реализовывать разные образовательные программы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в соответствии с требованиями ФГОС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ДО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и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учетом примерных основных образовательных программ дошкольного образования. При реализации нескольких образовательных программ дошкольного образования каждая из них должна быть утверждена Организацией и соответствовать требованиям </w:t>
      </w:r>
      <w:hyperlink r:id="rId13" w:anchor="100022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пункта 9 статьи 2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Федерального закона "Об образовании в Российской Федерации" от 29 декабря 2012 г. N 273-ФЗ (далее - Закон). При этом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,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если образовательная программа для отдельной группы ДОО разрабатывается с использованием примерной основной образовательной программы, обязательная часть образовательной программы группы в соответствии с </w:t>
      </w:r>
      <w:hyperlink r:id="rId14" w:anchor="100137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пунктом 2.12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 ФГОС ДО может быть оформлена в виде ссылки на соответствующую примерную основную образовательную программу.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Часть программы, формируемая участниками образовательных отношений, в соответствии с </w:t>
      </w:r>
      <w:hyperlink r:id="rId15" w:anchor="100137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пунктом 2.12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ФГОС ДО также может быть оформлена в виде ссылки на соответствующую методическую литературу, представляющую парциальные программы и/или методические разработки, используемые группой при реализации этой части программы.</w:t>
      </w:r>
      <w:proofErr w:type="gramEnd"/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" w:name="100014"/>
      <w:bookmarkEnd w:id="13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Если образовательная программа группы разрабатывается исключительно на основании требований ФГОС ДО без учета примерной (примерных) программ, то обязательная часть и часть, формируемая участниками образовательного процесса, разрабатываются в соответствии с требованиями </w:t>
      </w:r>
      <w:hyperlink r:id="rId16" w:anchor="100107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пункта 2.11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 ФГОС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ДО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4" w:name="100015"/>
      <w:bookmarkEnd w:id="14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17" w:anchor="100076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II пункта 2.5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5" w:name="100016"/>
      <w:bookmarkEnd w:id="15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Данная </w:t>
      </w:r>
      <w:hyperlink r:id="rId18" w:anchor="100076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норма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предполагает, что при разработке образовательной программы (программ) конкретной Организации могут использоваться примерные основные образовательные программы дошкольного образования, входящие в реестр примерных основных образовательных программ (</w:t>
      </w:r>
      <w:hyperlink r:id="rId19" w:anchor="100214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статья 12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Закона). Организация (группа) может разрабатывать программы самостоятельно, не опираясь на какую (какие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)-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либо примерные программы. Употребленный в данном </w:t>
      </w:r>
      <w:hyperlink r:id="rId20" w:anchor="100076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пункте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, а также в </w:t>
      </w:r>
      <w:hyperlink r:id="rId21" w:anchor="100227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Законе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термин "с учетом" означает право и предоставленную Организации возможность ознакомиться с существующими примерными программами, оценить их пригодность для своей образовательной деятельности и принять решение об использовании или неиспользовании данных примерных программ при разработке программы (программ) ДОО.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6" w:name="100017"/>
      <w:bookmarkEnd w:id="16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 xml:space="preserve">Выбор режима работы дошкольной группы осуществляется Организацией самостоятельно (с учетом объема решаемых задач, мнений участников образовательных отношений). Таким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образом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обеспечивается соответствие организационных особенностей реализации Программы ее содержанию. Для обеспечения бюджетного финансирования всего времени работы педагогического и учебно-вспомогательного персонала в группе продолжительность реализации Программы в сутки должна соответствовать выбранному режиму работы группы, что должно быть отражено в Программе. При функционировании в Организации групп с несколькими различными режимами пребывания детей Программа должна учитывать возможность ее реализации в соответствующих группах, либо для каждого режима должны быть разработаны соответствующие программы (при этом различия этих программ могут быть незначительны). Право реализации нескольких основных общеобразовательных программ закреплено </w:t>
      </w:r>
      <w:hyperlink r:id="rId22" w:anchor="100214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статьей 12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Закона. Программа может соответствовать любому режиму работы группы, не превышающему 14 часов в сутки. В случае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,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если режим работы группы превышает 14 часов в сутки, Программа реализуется не более 14 часов от всего времени пребывания детей.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7" w:name="100018"/>
      <w:bookmarkEnd w:id="17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Реализация программы не подразумевает ограничений на оказание дополнительных платных образовательных услуг воспитанникам.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Получение воспитанниками таких услуг должно регламентироваться договорами (в соответствии с утвержденной примерной формой договора об образовании по образовательным программам дошкольного образования, </w:t>
      </w:r>
      <w:hyperlink r:id="rId23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приказ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</w:t>
      </w:r>
      <w:proofErr w:type="spell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Минобрнауки</w:t>
      </w:r>
      <w:proofErr w:type="spell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России от 13 января 2014 г. N 8 (направлен в Минюст России на государственную регистрацию).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В случае если Программа реализуется в течение всего времени пребывания детей в Организации (продолжительность работы группы соответствует продолжительности реализации Программы) получение воспитанником дополнительной платной услуги может осуществляться одновременно с реализацией Программы в группе при условии фактического отсутствия воспитанника в группе. Поскольку дошкольное образование не является обязательным, родители (законные представители) воспитанника используют свое право на выбор формы получения ребенком образования и Организации, осуществляющей образовательную деятельность. При этом, в случае если хотя бы один ребенок фактически остается в группе, реализация Программы в ней не прекращается, прерывается лишь получение образования воспитанником, получающим дополнительную услугу. Поскольку дополнительное образование детей также является важным элементом развития детей, и ограничение их в его получении неконституционно, Организация не может повлиять на решение родителей о порядке посещения ребенком дошкольной группы. Независимо от количества детей в группе для обеспечения реализации Программы требуется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создать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в том числе необходимые кадровые условия. При этом финансовое обеспечение кадровых условий определяется в зависимости от нормативного количества детей в группе. Следовательно, временное отсутствие ребенка в группе по причине получения дополнительной образовательной услуги не может рассматриваться в качестве основания для пересмотра нормативов финансирования. Также, фактическое финансирование реализации Программы через обеспечение создания требуемых условий означает, что временное отсутствие ребенка в группе, не влияющее на изменение условий реализации Программы, не должно рассматриваться как нецелевое использование бюджетных средств. В то же время, вопрос параллельного освоения Программы и дополнительных </w:t>
      </w:r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общеобразовательных программ в одной Организации должен регулироваться локальными нормативными правовыми актами такой Организации.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8" w:name="100019"/>
      <w:bookmarkEnd w:id="18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24" w:anchor="100094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II пункта 2.7 (первый абзац)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9" w:name="100020"/>
      <w:bookmarkEnd w:id="19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Указанная </w:t>
      </w:r>
      <w:hyperlink r:id="rId25" w:anchor="100094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норма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 означает, что содержание образовательной программы (программ) ДОО не должно быть заранее расписано по конкретным образовательным областям, поскольку оно определяется конкретной ситуацией в группе, а именно: индивидуальными склонностями детей, их интересами, особенностями развития. Педагоги, работающие по программам, ориентированным на ребенка, обычно формируют содержание по ходу образовательной деятельности, решая задачи развития детей в зависимости от сложившейся образовательной ситуации, опираясь на интересы отдельного ребенка или группы детей. Это означает, что конкретное содержание образовательной программы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выполняет роль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средства развития, подбирается по мере постановки и решения развивающих задач и не всегда может быть задано заранее. Кроме того, на практике конкретное содержание образовательной деятельности обычно обеспечивает развитие детей одновременно в разных областях - например, в области социально-коммуникативного, познавательного и речевого развития, или социально-коммуникативного, художественно эстетического и физического развития и т.д. Таким образом, определенная образовательная технология или содержательное наполнение образовательной деятельности часто связано с работой педагога одновременно в разных образовательных областях.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0" w:name="100021"/>
      <w:bookmarkEnd w:id="20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то же время, существуют примерные программы, которые подробно расписывают определенное образовательное содержание. Если Организация принимает за основу своей Программы такую примерную программу, следует сделать ссылку именно на эту Программу.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1" w:name="100022"/>
      <w:bookmarkEnd w:id="21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26" w:anchor="100104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II пункта 2.9 (второй абзац)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2" w:name="100023"/>
      <w:bookmarkEnd w:id="22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Данная </w:t>
      </w:r>
      <w:hyperlink r:id="rId27" w:anchor="100104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статья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 ФГОС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ДО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подчеркивает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взаимодополняющий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характер детского развития в пяти образовательных областях.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3" w:name="100024"/>
      <w:bookmarkEnd w:id="23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28" w:anchor="100106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II пункта 2.10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4" w:name="100025"/>
      <w:bookmarkEnd w:id="24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Соотношение частей образовательной программы носит рекомендательный характер и призвано примерно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оценить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пропорцию между обязательной частью программы и частью, формируемой участниками образовательных отношений. Надо иметь в виду, что необязательный характер уровня дошкольного образования не позволяет устанавливать жесткое соотношение частей программы ДОО. Стандарт ориентирован на поддержку образовательной деятельности ДОО как программы позитивной социализации и индивидуализации детей дошкольного возраста, предполагающей организацию образовательной деятельности в зависимости от индивидуальных особенностей каждого ребенка, что затрудняет строгое определение объема обязательной части программы в ДОО.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5" w:name="100026"/>
      <w:bookmarkEnd w:id="25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29" w:anchor="100145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III пункта 3.1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6" w:name="100027"/>
      <w:bookmarkEnd w:id="26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данном </w:t>
      </w:r>
      <w:hyperlink r:id="rId30" w:anchor="100145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пункте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употребляются два сходных термина, которые, тем не менее, относятся к разному содержанию и которые следует различать: "развивающая предметно-пространственная среда" и "образовательная среда".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7" w:name="100028"/>
      <w:bookmarkEnd w:id="27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Развивающая предметно-пространственная среда - это специфические для каждой Программы Организации (группы) образовательное оборудование, материалы, мебель и т.п., в сочетании с определенными принципами разделения пространства Организации (группы).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8" w:name="100029"/>
      <w:bookmarkEnd w:id="28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Под образовательной средой подразумевается весь комплекс условий, которые обеспечивают развитие детей в дошкольной образовательной организации, в том числе развивающая </w:t>
      </w:r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предметно-пространственная среда, взаимодействие между педагогами и детьми, детская игра, развивающее предметное содержание образовательных областей и другие условия, перечисленные в Стандарте.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9" w:name="100030"/>
      <w:bookmarkEnd w:id="29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31" w:anchor="100166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III пункта 3.2.2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и к </w:t>
      </w:r>
      <w:hyperlink r:id="rId32" w:anchor="100241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3.4.4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0" w:name="100031"/>
      <w:bookmarkEnd w:id="30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соответствии с </w:t>
      </w:r>
      <w:hyperlink r:id="rId33" w:anchor="101040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частью 3 статьи 79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 Закона под специальными условиями для получения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образования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обучающимися с ограниченными возможностями здоровья понимаются условия обучения, воспитания и развития таких обучающихся,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необходимую техническую помощь, проведение групповых и индивидуальных коррекционных занятий, обеспечение доступа в здания Организаций и другие условия, без которых невозможно или затруднено освоение Программ обучающимися с ограниченными возможностями здоровья.</w:t>
      </w:r>
      <w:proofErr w:type="gramEnd"/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1" w:name="100032"/>
      <w:bookmarkEnd w:id="31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соответствии с Федеральным </w:t>
      </w:r>
      <w:hyperlink r:id="rId34" w:anchor="100088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законом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от 24 ноября 1995 г. N 181-ФЗ "О социальной защите инвалидов в Российской Федерации" (далее - Федеральный закон N 181-ФЗ) специальные условия должны быть внесены в индивидуальную программу реабилитации инвалида (далее - ИПР). ИПР является обязательной для исполнения всеми без исключения органами и организациями. Порядок разработки индивидуальной программы реабилитации инвалида утвержден приказом Министерства здравоохранения и социального развития Российской Федерации от 4 августа 2008 г. N 379н.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2" w:name="100033"/>
      <w:bookmarkEnd w:id="32"/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Объем и содержание услуг ассистента (помощника), оказывающего обучающимся необходимую техническую помощь, определяются Индивидуальной программой реабилитации инвалида (перечень реабилитационных мероприятий, направленных на восстановление способностей инвалида к бытовой, общественной, профессиональной деятельности в соответствии со структурой его потребностей, кругом интересов и уровнем притязаний (Постановление Министерства труда и социального развития Российской Федерации от 14 декабря 1996 г. N 14).</w:t>
      </w:r>
      <w:proofErr w:type="gramEnd"/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3" w:name="100034"/>
      <w:bookmarkEnd w:id="33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35" w:anchor="100167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III пункта 3.2.3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4" w:name="100035"/>
      <w:bookmarkEnd w:id="34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Оценка индивидуального развития детей представлена в Стандарте в двух формах диагностики - педагогической и психологической. Под педагогической диагностикой понимается такая оценка развития детей, которая необходима педагогу, непосредственно работающему с детьми, для получения "обратной связи" в процессе взаимодействия с ребенком или с группой детей. При этом согласно данной </w:t>
      </w:r>
      <w:proofErr w:type="spell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fldChar w:fldCharType="begin"/>
      </w:r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instrText xml:space="preserve"> HYPERLINK "http://legalacts.ru/doc/prikaz-minobrnauki-rossii-ot-17102013-n-1155/" \l "100167" </w:instrText>
      </w:r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fldChar w:fldCharType="separate"/>
      </w:r>
      <w:r w:rsidRPr="00EC021E">
        <w:rPr>
          <w:rFonts w:ascii="inherit" w:eastAsia="Times New Roman" w:hAnsi="inherit" w:cs="Arial"/>
          <w:color w:val="005EA5"/>
          <w:sz w:val="23"/>
          <w:szCs w:val="23"/>
          <w:u w:val="single"/>
          <w:bdr w:val="none" w:sz="0" w:space="0" w:color="auto" w:frame="1"/>
          <w:lang w:eastAsia="ru-RU"/>
        </w:rPr>
        <w:t>статье</w:t>
      </w:r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fldChar w:fldCharType="end"/>
      </w:r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Стандарта</w:t>
      </w:r>
      <w:proofErr w:type="spell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такая оценка индивидуального развития детей, прежде всего, является профессиональным инструментом педагога, которым он может воспользоваться при необходимости получения им информации об уровне актуального развития ребенка или о динамике такого развития по мере реализации Программы.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5" w:name="100036"/>
      <w:bookmarkEnd w:id="35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 </w:t>
      </w:r>
      <w:hyperlink r:id="rId36" w:anchor="100167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статье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предусмотрены задачи, для решения которых могут использоваться результаты педагогической диагностики: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6" w:name="100037"/>
      <w:bookmarkEnd w:id="36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1. индивидуализация образования, которая может предполагать поддержку ребенка, построение его образовательной траектории или коррекцию его развития в рамках профессиональной компетенции педагога;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7" w:name="100038"/>
      <w:bookmarkEnd w:id="37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2. оптимизация работы с группой детей.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8" w:name="100039"/>
      <w:bookmarkEnd w:id="38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Педагог имеет право по собственному выбору или на основе консультаций со специалистами использовать имеющиеся различные рекомендации по проведению такой оценки в рамках педагогической диагностики в группе Организации или проводить ее самостоятельно. Данные, полученные в результате такой оценки, также являются профессиональными материалами самого педагога и не подлежат проверке в процессе контроля и надзора. Та или иная степень обязательности проведения педагогом педагогической диагностики определяется Программой. При этом проведение педагогической диагностики не может быть вменено в обязанность педагогу, если не созданы условия для ее проведения, включая обеспечение специального обучения. Контроль за эффективностью деятельности педагога, которая, в том числе, может включать педагогическую оценку, может проводиться в процессе независимой оценки качества образования в Организации (</w:t>
      </w:r>
      <w:hyperlink r:id="rId37" w:anchor="100060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подпункт 4 пункта 1.7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ФГОС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ДО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; </w:t>
      </w:r>
      <w:hyperlink r:id="rId38" w:anchor="101300" w:history="1">
        <w:proofErr w:type="gramStart"/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статья</w:t>
        </w:r>
        <w:proofErr w:type="gramEnd"/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 xml:space="preserve"> 95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Закона).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9" w:name="100040"/>
      <w:bookmarkEnd w:id="39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Психологическую диагностику индивидуального развития ребенка проводят по мере необходимости квалифицированные специалисты - психологи и/или педагоги-психологи. Ее результаты используются для квалифицированной коррекции развития детей или для решения задач психологического сопровождения развития ребенка (группы детей).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0" w:name="100041"/>
      <w:bookmarkEnd w:id="40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Для участия ребенка в психологической диагностике в обязательном порядке требуется согласие его родителей (законных представителей). Если Организация является экспериментальной площадкой (участником) относительно длительной исследовательской программы, этот факт должен быть отражен в Договоре между Организацией и родителями (законными представителями) ребенка с целью получения их информированного согласия на постоянное исследование развития ребенка.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1" w:name="100042"/>
      <w:bookmarkEnd w:id="41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В соответствии с Положением о психолого-медико-педагогической комиссии, утвержденным приказом </w:t>
      </w:r>
      <w:proofErr w:type="spell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Минобрнауки</w:t>
      </w:r>
      <w:proofErr w:type="spell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России от 20 сентября 2013 г. N 1082, ребенку с ограниченными возможностями здоровья необходимо пройти обследование на заседании психолого-медико-педагогической комиссии (далее - ПМПК) и получить рекомендации.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2" w:name="100043"/>
      <w:bookmarkEnd w:id="42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соответствии с пунктом 10 вышеуказанного Положения основными направлениями деятельности комиссии являются: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3" w:name="100044"/>
      <w:bookmarkEnd w:id="43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а) проведение обследования детей в возрасте от 0 до 18 лет в целях своевременного выявления особенностей в физическом и (или) психическом развитии и (или) отклонений в поведении детей;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4" w:name="100045"/>
      <w:bookmarkEnd w:id="44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б) подготовка по результатам обследования рекомендаций по оказанию детям психолого-медико-педагогической помощи и организации их обучения и воспитания, подтверждение, уточнение или изменение ранее данных комиссией рекомендаций;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5" w:name="100046"/>
      <w:bookmarkEnd w:id="45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в) оказание консультативной помощи родителям (законным представителям) детей, работникам образовательных организаций, организаций, осуществляющих социальное обслуживание, медицинских организаций, других организаций по вопросам воспитания, обучения и коррекции нарушений развития детей с ограниченными возможностями здоровья и (или) </w:t>
      </w:r>
      <w:proofErr w:type="spell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девиантным</w:t>
      </w:r>
      <w:proofErr w:type="spell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(общественно опасным) поведением;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6" w:name="100047"/>
      <w:bookmarkEnd w:id="46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г) оказание федеральным учреждениям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медико-социальной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экспертизы содействия в разработке индивидуальной программы реабилитации ребенка-инвалида;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7" w:name="100048"/>
      <w:bookmarkEnd w:id="47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д) осуществление учета данных о детях с ограниченными возможностями здоровья и (или) </w:t>
      </w:r>
      <w:proofErr w:type="spell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девиантным</w:t>
      </w:r>
      <w:proofErr w:type="spell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(общественно опасным) поведением, проживающих на территории деятельности комиссии;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8" w:name="100049"/>
      <w:bookmarkEnd w:id="48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е) участие в организации информационно-просветительской работы с населением в области предупреждения и коррекции недостатков в физическом и (или) психическом развитии и (или) отклонений в поведении детей.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9" w:name="100050"/>
      <w:bookmarkEnd w:id="49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В соответствии с пунктом 23 Положения заключение комиссии действительно для представления в указанные органы и организации в течение календарного года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 даты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его подписания.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0" w:name="100051"/>
      <w:bookmarkEnd w:id="50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Педагогическая оценка индивидуального развития ребенка направлена, прежде всего, на определение наличия условий для развития ребенка в соответствии с его возрастными особенностями, возможностями и индивидуальными склонностями. В отличие от заключения психолого-медико-педагогической комиссии (далее - ПМПК), она не призвана выявлять особенности в физическом и (или) психическом развитии и (или) отклонений в поведении детей.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1" w:name="100052"/>
      <w:bookmarkEnd w:id="51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39" w:anchor="100174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III пункта 3.2.4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2" w:name="100053"/>
      <w:bookmarkEnd w:id="52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Предельная наполняемость Группы (включающей, в том числе, детей с ограниченными возможностями здоровья) определяется в соответствии с санитарно-эпидемиологическими правилами и нормативами.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3" w:name="100054"/>
      <w:bookmarkEnd w:id="53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соответствии с </w:t>
      </w:r>
      <w:hyperlink r:id="rId40" w:anchor="100045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постановлением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Главного государственного санитарного врача Российской Федерации от 15 мая 2013 г. N 26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организаций":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4" w:name="100055"/>
      <w:bookmarkEnd w:id="54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1.11. Рекомендуемое количество детей в группах компенсирующей направленности для детей до 3 лет и старше 3 лет соответственно не должно превышать: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5" w:name="100056"/>
      <w:bookmarkEnd w:id="55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 для детей с тяжелыми нарушениями речи - 6 и 10 детей;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6" w:name="100057"/>
      <w:bookmarkEnd w:id="56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 для детей с фонетико-фонематическими нарушениями речи в возрасте старше 3 лет - 12 детей;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7" w:name="100058"/>
      <w:bookmarkEnd w:id="57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 для глухих детей - 6 детей для обеих возрастных групп;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8" w:name="100059"/>
      <w:bookmarkEnd w:id="58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 для слабослышащих детей - 6 и 8 детей;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9" w:name="100060"/>
      <w:bookmarkEnd w:id="59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 для слепых детей - 6 детей для обеих возрастных групп;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0" w:name="100061"/>
      <w:bookmarkEnd w:id="60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- для слабовидящих детей, для детей с </w:t>
      </w:r>
      <w:proofErr w:type="spell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амблиопией</w:t>
      </w:r>
      <w:proofErr w:type="spell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, косоглазием - 6 и 10 детей;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1" w:name="100062"/>
      <w:bookmarkEnd w:id="61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 для детей с нарушениями опорно-двигательного аппарата - 6 и 8 детей;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2" w:name="100063"/>
      <w:bookmarkEnd w:id="62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 для детей с задержкой психического развития - 6 и 10 детей;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3" w:name="100064"/>
      <w:bookmarkEnd w:id="63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 для детей с умственной отсталостью легкой степени - 6 и 10 детей;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4" w:name="100065"/>
      <w:bookmarkEnd w:id="64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 для детей с умственной отсталостью умеренной, тяжелой в возрасте старше 3 лет - 8 детей;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5" w:name="100066"/>
      <w:bookmarkEnd w:id="65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 для детей с аутизмом только в возрасте старше 3 лет - 5 детей;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6" w:name="100067"/>
      <w:bookmarkEnd w:id="66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 для детей со сложным дефектом (имеющих сочетание 2 или более недостатков в физическом и (или) психическом развитии) - 5 детей для обеих возрастных групп;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7" w:name="100068"/>
      <w:bookmarkEnd w:id="67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 для детей с иными ограниченными возможностями здоровья - 10 и 15 детей. Допускается организовывать разновозрастные (смешанные) группы детей в дошкольных образовательных организациях компенсирующей направленности с учетом возможности организации в них режима дня, соответствующего анатомо-физиологическим особенностям каждой возрастной группы.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8" w:name="100069"/>
      <w:bookmarkEnd w:id="68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1.12. В дошкольных образовательных организациях организация групп комбинированной направленности, реализующих совместное образование здоровых детей и детей с </w:t>
      </w:r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ограниченными возможностями, осуществляется в соответствии с учетом особенностей психофизического развития и возможностей воспитанников.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9" w:name="100070"/>
      <w:bookmarkEnd w:id="69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Рекомендуемое количество детей в группах комбинированной направленности: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0" w:name="100071"/>
      <w:bookmarkEnd w:id="70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а) до 3 лет - не более 10 детей, в том числе не более 3 детей с ограниченными возможностями здоровья;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1" w:name="100072"/>
      <w:bookmarkEnd w:id="71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б) старше 3 лет: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2" w:name="100073"/>
      <w:bookmarkEnd w:id="72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 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тяжелой, или детей со сложным дефектом;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3" w:name="100074"/>
      <w:bookmarkEnd w:id="73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- не более 15 детей, в том числе не более 4 слабовидящих и (или) детей с </w:t>
      </w:r>
      <w:proofErr w:type="spell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амблиопией</w:t>
      </w:r>
      <w:proofErr w:type="spell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4" w:name="100075"/>
      <w:bookmarkEnd w:id="74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 не более 17 детей, в том числе не более 5 детей с задержкой психического развития.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5" w:name="100076"/>
      <w:bookmarkEnd w:id="75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41" w:anchor="100194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III пункта 3.2.6 подпункта 1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6" w:name="100077"/>
      <w:bookmarkEnd w:id="76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Полномочия по финансовому обеспечению создания в организации условий для дополнительного профессионального образования педагогических работников (</w:t>
      </w:r>
      <w:hyperlink r:id="rId42" w:anchor="101342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часть 2 статьи 99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Закона) относятся к полномочиям субъектов Российской Федерации. Необходимые средства должны быть доведены до Организации (государственной, муниципальной или частной) в составе норматива затрат, либо заложены в смету казенного учреждения. При этом, объем финансового обеспечения образования педагогических работников должен обеспечивать возможности для организации как по созданию необходимых условий в самой организации (в том числе, оплата замещения временно отсутствующего работника), так и для направления работников на обучение (оплата обучения, командировочные расходы).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7" w:name="100078"/>
      <w:bookmarkEnd w:id="77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43" w:anchor="100197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III пункта 3.2.7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8" w:name="100079"/>
      <w:bookmarkEnd w:id="78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соответствии с </w:t>
      </w:r>
      <w:hyperlink r:id="rId44" w:anchor="101038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частью 1 статьи 79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 Закона: "... содержание образования и условия организации обучения и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воспитания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обучающихся с ограниченными возможностями здоровья (далее - ОВЗ) определяются адаптированной образовательной программой, а для инвалидов также в соответствии с индивидуальной программой реабилитации инвалида". В связи с этим, для получения общего образования детьми с ОВЗ в Организациях должны разрабатываться соответствующие адаптированные основные общеобразовательные программы (отдельными документами) с учетом особенностей их психофизического развития и индивидуальных возможностей. Индивидуальную программу реабилитации разрабатывает Бюро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медико-социальной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экспертизы (в соответствии со </w:t>
      </w:r>
      <w:hyperlink r:id="rId45" w:anchor="100063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статьей 7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 Федерального закона N 181-ФЗ). Условия должны быть созданы в соответствии с Рекомендациями ПМПК (приказ </w:t>
      </w:r>
      <w:proofErr w:type="spell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Минобрнауки</w:t>
      </w:r>
      <w:proofErr w:type="spell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России от 20 сентября 2013 г. N 1082 "Об утверждении Положения о психолого-медико-педагогической комиссии").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9" w:name="100080"/>
      <w:bookmarkEnd w:id="79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46" w:anchor="100233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III пункта 3.3.5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0" w:name="100081"/>
      <w:bookmarkEnd w:id="80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соответствии с </w:t>
      </w:r>
      <w:hyperlink r:id="rId47" w:anchor="100383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пунктом 2 части 3 статьи 28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Закона к компетенции образовательной организации отнесено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со Стандартом. Таким образом, Организация самостоятельно утверждает перечень необходимых средств обучения, которые будут использоваться при реализации Программы. При этом средства обучения должны полностью соответствовать требованиям </w:t>
      </w:r>
      <w:hyperlink r:id="rId48" w:anchor="100212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пункта 3.3.4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Стандарта. Для обеспечения возможности </w:t>
      </w:r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 xml:space="preserve">Организации осуществлять самостоятельную закупку необходимых средств обучения норматив затрат, в соответствии с которым определяется бюджетное финансирование организации, должны учитываться расходы на приобретение необходимых средств обучения (в соответствии с методическими рекомендациями, направленными письмом </w:t>
      </w:r>
      <w:proofErr w:type="spell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Минобрнауки</w:t>
      </w:r>
      <w:proofErr w:type="spell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России от 1 октября 2013 г. N 08-1408).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1" w:name="100082"/>
      <w:bookmarkEnd w:id="81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49" w:anchor="100235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III пункта 3.4.1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2" w:name="100083"/>
      <w:bookmarkEnd w:id="82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соответствии с требованиями к кадровому обеспечению Стандарта деятельность руководящих работников, педагогических работников, учебно-вспомогательного персонала, работников, осуществляющих финансовую деятельность, охрану жизни и здоровья детей, необходимо рассматривать в полной мере как деятельность по обеспечению и реализации Программы. </w:t>
      </w:r>
      <w:hyperlink r:id="rId50" w:anchor="100009" w:history="1">
        <w:proofErr w:type="gramStart"/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Номенклатура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должностей руководящих, педагогических и учебно-вспомогательных работников утверждена постановлением Правительства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организаций", а также </w:t>
      </w:r>
      <w:hyperlink r:id="rId51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приказом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</w:t>
      </w:r>
      <w:proofErr w:type="spell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Минздравсоцразвития</w:t>
      </w:r>
      <w:proofErr w:type="spell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России от 26 августа 2010 г. N 761н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образования".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Таким образом, финансовая ответственность за сопровождение реализации Программы указанными категориями персонала возлагается на органы власти субъектов Российской Федерации, осуществляющие управление в сфере образования, и не может быть переложена на уровень муниципалитетов или родителей. То есть средства на оплату труда указанных категорий персонала должны быть заложены в региональные нормативы затрат. Финансовое обеспечение привлечения к реализации Программы научных работников остается на усмотрение субъекта Российской Федерации.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3" w:name="100084"/>
      <w:bookmarkEnd w:id="83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соответствии с пунктом 4 </w:t>
      </w:r>
      <w:hyperlink r:id="rId52" w:anchor="100380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части 2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и </w:t>
      </w:r>
      <w:hyperlink r:id="rId53" w:anchor="100381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частью 3 статьи 28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Закона установление штатного расписания является компетенцией Организации. В то же время Организация должна исходить в первую очередь из задачи обеспечения требований Стандарта.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4" w:name="100085"/>
      <w:bookmarkEnd w:id="84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Для сопровождения реализации Программы на протяжении всего времени реализации (в большинстве случаев соответствующего продолжительности работы группы) в каждой группе должны находиться не менее двух работников, в том числе одного воспитателя (или другого педагогического работника) и помощника воспитателя (младшего воспитателя). Таким образом, дети в любой момент должны находиться с одним или несколькими работниками Организации, принимающими участие в реализации Программы (с педагогическим и/или учебно-вспомогательным работником). При расчете региональных нормативов финансирования необходимо учитывать особенности нагрузки на отдельные должности работников при работе в различных группах, в том числе в группах с различной направленностью Программ, а также особенности работы воспитателей в течение времени их совместного пребывания в Организации: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5" w:name="100086"/>
      <w:bookmarkEnd w:id="85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 оформлении результатов наблюдения (мониторинга) за здоровьем, развитием и воспитанием детей, в том числе с помощью электронных форм;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6" w:name="100087"/>
      <w:bookmarkEnd w:id="86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разработке плана (программы) воспитательной работы;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7" w:name="100088"/>
      <w:bookmarkEnd w:id="87"/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при участии в работе педагогических, методических советов,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</w:t>
      </w:r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проведении методической и консультативной помощи родителям (лицам, их заменяющим) и иных мероприятиях, предусмотренных должностной инструкцией.</w:t>
      </w:r>
      <w:proofErr w:type="gramEnd"/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8" w:name="100089"/>
      <w:bookmarkEnd w:id="88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Необходимо также учитывать, что для эффективного развития детей в выделенных образовательных областях с детьми в течение дня помимо воспитателя должны работать и другие педагогические работники (например, инструкторы по физической культуре, музыкальные руководители, специалисты по художественному и эстетическому воспитанию, педагоги-психологи), а также должна осуществляться методическая поддержка реализации Программы. Для этого Организация самостоятельно устанавливает штатное расписание в пределах выделяемого финансирования. Таким образом, региональные нормативы затрат должны учитывать необходимость покрытия расходов Организации, связанных с привлечением всех категорий работников, предусмотренных </w:t>
      </w:r>
      <w:hyperlink r:id="rId54" w:anchor="100235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пунктом 3.4.1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Стандарта.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9" w:name="100090"/>
      <w:bookmarkEnd w:id="89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55" w:anchor="100240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III пунктов 3.4.3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и </w:t>
      </w:r>
      <w:hyperlink r:id="rId56" w:anchor="100241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3.4.4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0" w:name="100091"/>
      <w:bookmarkEnd w:id="90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Педагогическими работниками, дополнительно привлекаемыми для обеспечения реализации Программы в группах для детей с ОВЗ (</w:t>
      </w:r>
      <w:hyperlink r:id="rId57" w:anchor="100240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 3.4.3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Стандарта) и в общеразвивающих группах, в которых обучаются дети с ОВЗ (</w:t>
      </w:r>
      <w:hyperlink r:id="rId58" w:anchor="100240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 3.4.3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Стандарта), являются учителя-дефектологи, учителя-логопеды, а также, в случае необходимости, социальные педагоги. Рекомендованное количество соответствующих педагогов в расчете на одну группу (для обоих случаев) составляет 1 ставку на группу.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1" w:name="100092"/>
      <w:bookmarkEnd w:id="91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59" w:anchor="100253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III пункта 3.6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2" w:name="100093"/>
      <w:bookmarkEnd w:id="92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Требования к финансовым условиям определяют закрепление на уровне Стандарта обязательств субъекта Российской Федерации по обеспечению выполнения кадровых требований и требований к предметно-развивающей среде и обязательства муниципалитета по финансовому обеспечению организации реализации Программы в учреждениях. При этом подробное распределение региональных и местных обязательств разъясняется письмом </w:t>
      </w:r>
      <w:proofErr w:type="spell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Минобрнауки</w:t>
      </w:r>
      <w:proofErr w:type="spell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России от 1 октября 2013 г. N 08-1408.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3" w:name="100094"/>
      <w:bookmarkEnd w:id="93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60" w:anchor="100267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IV пункта 4.3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4" w:name="100095"/>
      <w:bookmarkEnd w:id="94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Данная </w:t>
      </w:r>
      <w:hyperlink r:id="rId61" w:anchor="100267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статья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Стандарта в соответствии с положениями </w:t>
      </w:r>
      <w:hyperlink r:id="rId62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Закона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не допускает использование целевых ориентиров дошкольного образования для непосредственной оценки реальных достижений детей. Целевые ориентиры, представленные в </w:t>
      </w:r>
      <w:hyperlink r:id="rId63" w:anchor="100285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статье 4.6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Стандарта, отражают согласованные ожидания общества относительно дошкольного детства и представляют собой возрастной портрет ребенка, который не может быть непосредственно применен к отдельному ребенку.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5" w:name="100096"/>
      <w:bookmarkEnd w:id="95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Комментарии к </w:t>
      </w:r>
      <w:hyperlink r:id="rId64" w:anchor="100279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разделу IV пункта 4.5</w:t>
        </w:r>
      </w:hyperlink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6" w:name="100097"/>
      <w:bookmarkEnd w:id="96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 </w:t>
      </w:r>
      <w:hyperlink r:id="rId65" w:anchor="100279" w:history="1">
        <w:r w:rsidRPr="00EC021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пункте</w:t>
        </w:r>
      </w:hyperlink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 содержится запрет на использование целевых ориентиров для решения ряда управленческих задач. Основанием для такого запрета является характер целевых ориентиров, которые не предполагают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контроля за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достижением конкретных образовательных результатов детей. </w:t>
      </w:r>
      <w:proofErr w:type="gramStart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Контроль за</w:t>
      </w:r>
      <w:proofErr w:type="gramEnd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образовательной деятельностью в рамках реализации Программы в Организации осуществляется не за образовательными результатами детей, а за условиями ее реализации, которые и способствуют достижению детьми определенных образовательных результатов.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7" w:name="100098"/>
      <w:bookmarkEnd w:id="97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Оценка выполнения муниципального (государственного) задания должна строиться на основании критериев, характеризующих создаваемые учреждением условия при реализации Программы. При расчете критериев, используемых для оценки выполнения бюджетных </w:t>
      </w:r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заданий, запрещается использовать показатели, соотносимые с характеристиками воспитанников организации.</w:t>
      </w:r>
    </w:p>
    <w:p w:rsidR="00EC021E" w:rsidRPr="00EC021E" w:rsidRDefault="00EC021E" w:rsidP="00EC021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8" w:name="100099"/>
      <w:bookmarkEnd w:id="98"/>
      <w:r w:rsidRPr="00EC021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Используемые в Организациях критерии для оценки эффективности деятельности отдельных работников должны быть построены на показателях, характеризующих создаваемые ими условия при реализации образовательной программы. Запрещается использовать показатели, соотносимые с характеристиками воспитанников Организации.</w:t>
      </w:r>
    </w:p>
    <w:p w:rsidR="009D2AFD" w:rsidRDefault="009D2AFD">
      <w:bookmarkStart w:id="99" w:name="_GoBack"/>
      <w:bookmarkEnd w:id="99"/>
    </w:p>
    <w:sectPr w:rsidR="009D2A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711"/>
    <w:rsid w:val="008B1881"/>
    <w:rsid w:val="009D2AFD"/>
    <w:rsid w:val="00C10711"/>
    <w:rsid w:val="00DD5F1E"/>
    <w:rsid w:val="00EC021E"/>
    <w:rsid w:val="00F4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53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3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legalacts.ru/doc/273_FZ-ob-obrazovanii/glava-1/statja-2/" TargetMode="External"/><Relationship Id="rId18" Type="http://schemas.openxmlformats.org/officeDocument/2006/relationships/hyperlink" Target="http://legalacts.ru/doc/prikaz-minobrnauki-rossii-ot-17102013-n-1155/" TargetMode="External"/><Relationship Id="rId26" Type="http://schemas.openxmlformats.org/officeDocument/2006/relationships/hyperlink" Target="http://legalacts.ru/doc/prikaz-minobrnauki-rossii-ot-17102013-n-1155/" TargetMode="External"/><Relationship Id="rId39" Type="http://schemas.openxmlformats.org/officeDocument/2006/relationships/hyperlink" Target="http://legalacts.ru/doc/prikaz-minobrnauki-rossii-ot-17102013-n-1155/" TargetMode="External"/><Relationship Id="rId21" Type="http://schemas.openxmlformats.org/officeDocument/2006/relationships/hyperlink" Target="http://legalacts.ru/doc/273_FZ-ob-obrazovanii/glava-2/statja-12/" TargetMode="External"/><Relationship Id="rId34" Type="http://schemas.openxmlformats.org/officeDocument/2006/relationships/hyperlink" Target="http://legalacts.ru/doc/federalnyi-zakon-ot-24111995-n-181-fz-o/" TargetMode="External"/><Relationship Id="rId42" Type="http://schemas.openxmlformats.org/officeDocument/2006/relationships/hyperlink" Target="http://legalacts.ru/doc/273_FZ-ob-obrazovanii/glava-13/statja-99/" TargetMode="External"/><Relationship Id="rId47" Type="http://schemas.openxmlformats.org/officeDocument/2006/relationships/hyperlink" Target="http://legalacts.ru/doc/273_FZ-ob-obrazovanii/glava-3/statja-28/" TargetMode="External"/><Relationship Id="rId50" Type="http://schemas.openxmlformats.org/officeDocument/2006/relationships/hyperlink" Target="http://legalacts.ru/doc/postanovlenie-pravitelstva-rf-ot-08082013-n-678/" TargetMode="External"/><Relationship Id="rId55" Type="http://schemas.openxmlformats.org/officeDocument/2006/relationships/hyperlink" Target="http://legalacts.ru/doc/prikaz-minobrnauki-rossii-ot-17102013-n-1155/" TargetMode="External"/><Relationship Id="rId63" Type="http://schemas.openxmlformats.org/officeDocument/2006/relationships/hyperlink" Target="http://legalacts.ru/doc/prikaz-minobrnauki-rossii-ot-17102013-n-1155/" TargetMode="External"/><Relationship Id="rId7" Type="http://schemas.openxmlformats.org/officeDocument/2006/relationships/hyperlink" Target="http://legalacts.ru/doc/pismo-minobrnauki-rossii-ot-28022014-n-08-249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legalacts.ru/doc/prikaz-minobrnauki-rossii-ot-17102013-n-1155/" TargetMode="External"/><Relationship Id="rId29" Type="http://schemas.openxmlformats.org/officeDocument/2006/relationships/hyperlink" Target="http://legalacts.ru/doc/prikaz-minobrnauki-rossii-ot-17102013-n-1155/" TargetMode="External"/><Relationship Id="rId1" Type="http://schemas.openxmlformats.org/officeDocument/2006/relationships/styles" Target="styles.xml"/><Relationship Id="rId6" Type="http://schemas.openxmlformats.org/officeDocument/2006/relationships/hyperlink" Target="http://legalacts.ru/doc/prikaz-minobrnauki-rossii-ot-17102013-n-1155/" TargetMode="External"/><Relationship Id="rId11" Type="http://schemas.openxmlformats.org/officeDocument/2006/relationships/hyperlink" Target="http://legalacts.ru/doc/prikaz-minobrnauki-rossii-ot-17102013-n-1155/" TargetMode="External"/><Relationship Id="rId24" Type="http://schemas.openxmlformats.org/officeDocument/2006/relationships/hyperlink" Target="http://legalacts.ru/doc/prikaz-minobrnauki-rossii-ot-17102013-n-1155/" TargetMode="External"/><Relationship Id="rId32" Type="http://schemas.openxmlformats.org/officeDocument/2006/relationships/hyperlink" Target="http://legalacts.ru/doc/prikaz-minobrnauki-rossii-ot-17102013-n-1155/" TargetMode="External"/><Relationship Id="rId37" Type="http://schemas.openxmlformats.org/officeDocument/2006/relationships/hyperlink" Target="http://legalacts.ru/doc/prikaz-minobrnauki-rossii-ot-17102013-n-1155/" TargetMode="External"/><Relationship Id="rId40" Type="http://schemas.openxmlformats.org/officeDocument/2006/relationships/hyperlink" Target="http://legalacts.ru/doc/postanovlenie-glavnogo-gosudarstvennogo-sanitarnogo-vracha-rf-ot-15052013-n/" TargetMode="External"/><Relationship Id="rId45" Type="http://schemas.openxmlformats.org/officeDocument/2006/relationships/hyperlink" Target="http://legalacts.ru/doc/federalnyi-zakon-ot-24111995-n-181-fz-o/" TargetMode="External"/><Relationship Id="rId53" Type="http://schemas.openxmlformats.org/officeDocument/2006/relationships/hyperlink" Target="http://legalacts.ru/doc/273_FZ-ob-obrazovanii/glava-3/statja-28/" TargetMode="External"/><Relationship Id="rId58" Type="http://schemas.openxmlformats.org/officeDocument/2006/relationships/hyperlink" Target="http://legalacts.ru/doc/prikaz-minobrnauki-rossii-ot-17102013-n-1155/" TargetMode="External"/><Relationship Id="rId66" Type="http://schemas.openxmlformats.org/officeDocument/2006/relationships/fontTable" Target="fontTable.xml"/><Relationship Id="rId5" Type="http://schemas.openxmlformats.org/officeDocument/2006/relationships/hyperlink" Target="http://legalacts.ru/doc/pismo-minobrnauki-rossii-ot-28022014-n-08-249/" TargetMode="External"/><Relationship Id="rId15" Type="http://schemas.openxmlformats.org/officeDocument/2006/relationships/hyperlink" Target="http://legalacts.ru/doc/prikaz-minobrnauki-rossii-ot-17102013-n-1155/" TargetMode="External"/><Relationship Id="rId23" Type="http://schemas.openxmlformats.org/officeDocument/2006/relationships/hyperlink" Target="http://legalacts.ru/doc/prikaz-minobrnauki-rossii-ot-13012014-n-8/" TargetMode="External"/><Relationship Id="rId28" Type="http://schemas.openxmlformats.org/officeDocument/2006/relationships/hyperlink" Target="http://legalacts.ru/doc/prikaz-minobrnauki-rossii-ot-17102013-n-1155/" TargetMode="External"/><Relationship Id="rId36" Type="http://schemas.openxmlformats.org/officeDocument/2006/relationships/hyperlink" Target="http://legalacts.ru/doc/prikaz-minobrnauki-rossii-ot-17102013-n-1155/" TargetMode="External"/><Relationship Id="rId49" Type="http://schemas.openxmlformats.org/officeDocument/2006/relationships/hyperlink" Target="http://legalacts.ru/doc/prikaz-minobrnauki-rossii-ot-17102013-n-1155/" TargetMode="External"/><Relationship Id="rId57" Type="http://schemas.openxmlformats.org/officeDocument/2006/relationships/hyperlink" Target="http://legalacts.ru/doc/prikaz-minobrnauki-rossii-ot-17102013-n-1155/" TargetMode="External"/><Relationship Id="rId61" Type="http://schemas.openxmlformats.org/officeDocument/2006/relationships/hyperlink" Target="http://legalacts.ru/doc/prikaz-minobrnauki-rossii-ot-17102013-n-1155/" TargetMode="External"/><Relationship Id="rId10" Type="http://schemas.openxmlformats.org/officeDocument/2006/relationships/hyperlink" Target="http://legalacts.ru/doc/prikaz-minobrnauki-rossii-ot-17102013-n-1155/" TargetMode="External"/><Relationship Id="rId19" Type="http://schemas.openxmlformats.org/officeDocument/2006/relationships/hyperlink" Target="http://legalacts.ru/doc/273_FZ-ob-obrazovanii/glava-2/statja-12/" TargetMode="External"/><Relationship Id="rId31" Type="http://schemas.openxmlformats.org/officeDocument/2006/relationships/hyperlink" Target="http://legalacts.ru/doc/prikaz-minobrnauki-rossii-ot-17102013-n-1155/" TargetMode="External"/><Relationship Id="rId44" Type="http://schemas.openxmlformats.org/officeDocument/2006/relationships/hyperlink" Target="http://legalacts.ru/doc/273_FZ-ob-obrazovanii/glava-11/statja-79/" TargetMode="External"/><Relationship Id="rId52" Type="http://schemas.openxmlformats.org/officeDocument/2006/relationships/hyperlink" Target="http://legalacts.ru/doc/273_FZ-ob-obrazovanii/glava-3/statja-28/" TargetMode="External"/><Relationship Id="rId60" Type="http://schemas.openxmlformats.org/officeDocument/2006/relationships/hyperlink" Target="http://legalacts.ru/doc/prikaz-minobrnauki-rossii-ot-17102013-n-1155/" TargetMode="External"/><Relationship Id="rId65" Type="http://schemas.openxmlformats.org/officeDocument/2006/relationships/hyperlink" Target="http://legalacts.ru/doc/prikaz-minobrnauki-rossii-ot-17102013-n-1155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egalacts.ru/doc/prikaz-minobrnauki-rossii-ot-17102013-n-1155/" TargetMode="External"/><Relationship Id="rId14" Type="http://schemas.openxmlformats.org/officeDocument/2006/relationships/hyperlink" Target="http://legalacts.ru/doc/prikaz-minobrnauki-rossii-ot-17102013-n-1155/" TargetMode="External"/><Relationship Id="rId22" Type="http://schemas.openxmlformats.org/officeDocument/2006/relationships/hyperlink" Target="http://legalacts.ru/doc/273_FZ-ob-obrazovanii/glava-2/statja-12/" TargetMode="External"/><Relationship Id="rId27" Type="http://schemas.openxmlformats.org/officeDocument/2006/relationships/hyperlink" Target="http://legalacts.ru/doc/prikaz-minobrnauki-rossii-ot-17102013-n-1155/" TargetMode="External"/><Relationship Id="rId30" Type="http://schemas.openxmlformats.org/officeDocument/2006/relationships/hyperlink" Target="http://legalacts.ru/doc/prikaz-minobrnauki-rossii-ot-17102013-n-1155/" TargetMode="External"/><Relationship Id="rId35" Type="http://schemas.openxmlformats.org/officeDocument/2006/relationships/hyperlink" Target="http://legalacts.ru/doc/prikaz-minobrnauki-rossii-ot-17102013-n-1155/" TargetMode="External"/><Relationship Id="rId43" Type="http://schemas.openxmlformats.org/officeDocument/2006/relationships/hyperlink" Target="http://legalacts.ru/doc/prikaz-minobrnauki-rossii-ot-17102013-n-1155/" TargetMode="External"/><Relationship Id="rId48" Type="http://schemas.openxmlformats.org/officeDocument/2006/relationships/hyperlink" Target="http://legalacts.ru/doc/prikaz-minobrnauki-rossii-ot-17102013-n-1155/" TargetMode="External"/><Relationship Id="rId56" Type="http://schemas.openxmlformats.org/officeDocument/2006/relationships/hyperlink" Target="http://legalacts.ru/doc/prikaz-minobrnauki-rossii-ot-17102013-n-1155/" TargetMode="External"/><Relationship Id="rId64" Type="http://schemas.openxmlformats.org/officeDocument/2006/relationships/hyperlink" Target="http://legalacts.ru/doc/prikaz-minobrnauki-rossii-ot-17102013-n-1155/" TargetMode="External"/><Relationship Id="rId8" Type="http://schemas.openxmlformats.org/officeDocument/2006/relationships/hyperlink" Target="http://legalacts.ru/doc/prikaz-minobrnauki-rossii-ot-17102013-n-1155/" TargetMode="External"/><Relationship Id="rId51" Type="http://schemas.openxmlformats.org/officeDocument/2006/relationships/hyperlink" Target="http://legalacts.ru/doc/prikaz-minzdravsotsrazvitija-rf-ot-26082010-n-761n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legalacts.ru/doc/prikaz-minobrnauki-rossii-ot-30082013-n-1014/" TargetMode="External"/><Relationship Id="rId17" Type="http://schemas.openxmlformats.org/officeDocument/2006/relationships/hyperlink" Target="http://legalacts.ru/doc/prikaz-minobrnauki-rossii-ot-17102013-n-1155/" TargetMode="External"/><Relationship Id="rId25" Type="http://schemas.openxmlformats.org/officeDocument/2006/relationships/hyperlink" Target="http://legalacts.ru/doc/prikaz-minobrnauki-rossii-ot-17102013-n-1155/" TargetMode="External"/><Relationship Id="rId33" Type="http://schemas.openxmlformats.org/officeDocument/2006/relationships/hyperlink" Target="http://legalacts.ru/doc/273_FZ-ob-obrazovanii/glava-11/statja-79/" TargetMode="External"/><Relationship Id="rId38" Type="http://schemas.openxmlformats.org/officeDocument/2006/relationships/hyperlink" Target="http://legalacts.ru/doc/273_FZ-ob-obrazovanii/glava-12/statja-95/" TargetMode="External"/><Relationship Id="rId46" Type="http://schemas.openxmlformats.org/officeDocument/2006/relationships/hyperlink" Target="http://legalacts.ru/doc/prikaz-minobrnauki-rossii-ot-17102013-n-1155/" TargetMode="External"/><Relationship Id="rId59" Type="http://schemas.openxmlformats.org/officeDocument/2006/relationships/hyperlink" Target="http://legalacts.ru/doc/prikaz-minobrnauki-rossii-ot-17102013-n-1155/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://legalacts.ru/doc/prikaz-minobrnauki-rossii-ot-17102013-n-1155/" TargetMode="External"/><Relationship Id="rId41" Type="http://schemas.openxmlformats.org/officeDocument/2006/relationships/hyperlink" Target="http://legalacts.ru/doc/prikaz-minobrnauki-rossii-ot-17102013-n-1155/" TargetMode="External"/><Relationship Id="rId54" Type="http://schemas.openxmlformats.org/officeDocument/2006/relationships/hyperlink" Target="http://legalacts.ru/doc/prikaz-minobrnauki-rossii-ot-17102013-n-1155/" TargetMode="External"/><Relationship Id="rId62" Type="http://schemas.openxmlformats.org/officeDocument/2006/relationships/hyperlink" Target="http://legalacts.ru/doc/273_FZ-ob-obrazovani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5621</Words>
  <Characters>32044</Characters>
  <Application>Microsoft Office Word</Application>
  <DocSecurity>0</DocSecurity>
  <Lines>267</Lines>
  <Paragraphs>75</Paragraphs>
  <ScaleCrop>false</ScaleCrop>
  <Company/>
  <LinksUpToDate>false</LinksUpToDate>
  <CharactersWithSpaces>37590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2</cp:revision>
  <dcterms:created xsi:type="dcterms:W3CDTF">2018-10-24T11:52:00Z</dcterms:created>
  <dcterms:modified xsi:type="dcterms:W3CDTF">2018-10-24T11:52:00Z</dcterms:modified>
</cp:coreProperties>
</file>